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8"/>
        </w:rPr>
        <w:t>附</w:t>
      </w:r>
      <w:r>
        <w:rPr>
          <w:rFonts w:hint="eastAsia" w:ascii="宋体" w:hAnsi="宋体" w:cs="宋体"/>
          <w:sz w:val="24"/>
        </w:rPr>
        <w:t>件2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宋体" w:hAnsi="宋体" w:cs="宋体"/>
          <w:sz w:val="24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</w:rPr>
        <w:t>当涂县人民医院2019年校园招聘工作人员岗位表</w:t>
      </w:r>
    </w:p>
    <w:p>
      <w:pPr>
        <w:rPr>
          <w:rFonts w:hint="eastAsia" w:ascii="宋体" w:hAnsi="宋体" w:cs="宋体"/>
          <w:sz w:val="24"/>
        </w:rPr>
      </w:pPr>
    </w:p>
    <w:tbl>
      <w:tblPr>
        <w:tblStyle w:val="4"/>
        <w:tblpPr w:leftFromText="180" w:rightFromText="180" w:vertAnchor="text" w:tblpX="6" w:tblpY="292"/>
        <w:tblOverlap w:val="never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392"/>
        <w:gridCol w:w="1220"/>
        <w:gridCol w:w="868"/>
        <w:gridCol w:w="1906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岗位代码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学历（学位）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招聘人数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临床医学</w:t>
            </w:r>
          </w:p>
        </w:tc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本科（学士）及以上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年龄≤25周岁；取得执业医师证或医师规培合格证年龄≤30周岁；临床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医学</w:t>
            </w:r>
            <w:r>
              <w:rPr>
                <w:rFonts w:hint="eastAsia" w:ascii="宋体" w:hAnsi="宋体" w:cs="宋体"/>
                <w:sz w:val="24"/>
              </w:rPr>
              <w:t>类专业型硕士研究生及以上学历或取得临床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医学</w:t>
            </w:r>
            <w:r>
              <w:rPr>
                <w:rFonts w:hint="eastAsia" w:ascii="宋体" w:hAnsi="宋体" w:cs="宋体"/>
                <w:sz w:val="24"/>
              </w:rPr>
              <w:t>类中级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卫生专业技术</w:t>
            </w:r>
            <w:r>
              <w:rPr>
                <w:rFonts w:hint="eastAsia" w:ascii="宋体" w:hAnsi="宋体" w:cs="宋体"/>
                <w:sz w:val="24"/>
              </w:rPr>
              <w:t>资格证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书</w:t>
            </w:r>
            <w:r>
              <w:rPr>
                <w:rFonts w:hint="eastAsia" w:ascii="宋体" w:hAnsi="宋体" w:cs="宋体"/>
                <w:sz w:val="24"/>
              </w:rPr>
              <w:t>年龄≤35周岁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临床医学类专业型硕士研究生专业不限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1002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临床医学</w:t>
            </w:r>
          </w:p>
        </w:tc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医学影像学</w:t>
            </w:r>
          </w:p>
        </w:tc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1004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</w:t>
            </w:r>
          </w:p>
        </w:tc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25周岁及以下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医学检验、医学检验技术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康复治疗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专科及以上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康复医学、康复治疗学、康复治疗技术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1006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公共事业管理（医学类）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本科（学士）及以上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卫生管理方向、信息管理方向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E7B7E"/>
    <w:rsid w:val="0C0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2018-12-21T02:29:00Z</dcterms:created>
  <dc:creator>Administrator</dc:creator>
  <cp:lastModifiedBy>Administrator</cp:lastModifiedBy>
  <dcterms:modified xsi:type="dcterms:W3CDTF">2018-12-21T02:29:17Z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