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center"/>
        <w:rPr>
          <w:rFonts w:hint="eastAsia" w:ascii="宋体" w:hAnsi="宋体" w:cs="宋体"/>
          <w:bCs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Cs/>
          <w:kern w:val="0"/>
          <w:sz w:val="30"/>
          <w:szCs w:val="30"/>
          <w:lang w:bidi="ar"/>
        </w:rPr>
        <w:t>附件</w:t>
      </w:r>
      <w:r>
        <w:rPr>
          <w:rFonts w:hint="eastAsia" w:ascii="宋体" w:hAnsi="宋体" w:cs="宋体"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宋体" w:hAnsi="宋体" w:cs="宋体"/>
          <w:bCs/>
          <w:kern w:val="0"/>
          <w:sz w:val="30"/>
          <w:szCs w:val="30"/>
          <w:lang w:bidi="ar"/>
        </w:rPr>
        <w:t>：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安庆市宜秀区区直单位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bidi="ar"/>
        </w:rPr>
        <w:t>2017年公开招聘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bidi="ar"/>
        </w:rPr>
        <w:t>人员岗位设置一览表</w:t>
      </w:r>
    </w:p>
    <w:tbl>
      <w:tblPr>
        <w:tblStyle w:val="5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426"/>
        <w:gridCol w:w="825"/>
        <w:gridCol w:w="2085"/>
        <w:gridCol w:w="1425"/>
        <w:gridCol w:w="840"/>
        <w:gridCol w:w="1725"/>
        <w:gridCol w:w="3931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val="en-US" w:eastAsia="zh-CN" w:bidi="ar"/>
              </w:rPr>
              <w:t>用人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val="en-US" w:eastAsia="zh-CN" w:bidi="ar"/>
              </w:rPr>
              <w:t>单位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人数</w:t>
            </w:r>
          </w:p>
        </w:tc>
        <w:tc>
          <w:tcPr>
            <w:tcW w:w="10006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岗位条件和要求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专业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3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其他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区发改委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 w:bidi="ar"/>
              </w:rPr>
              <w:t>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经济学门类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全日制本科及以上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393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区工信委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经济学门类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全日制本科及以上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39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区科技局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理学门类、工学门类、经济学门类、工商管理类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全日制本科及以上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3931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有较强的文字综合能力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4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区投融资与金融办公室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金融学类,会计学、财务管理专业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不限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3931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章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?淇KNfOS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  <w:font w:name="书体坊于右任标准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2856"/>
    <w:rsid w:val="6C402E9F"/>
    <w:rsid w:val="73D705B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2017-12-04T03:37:45Z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