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450" w:afterAutospacing="0"/>
        <w:ind w:left="0" w:right="0"/>
        <w:jc w:val="center"/>
        <w:rPr>
          <w:color w:val="333333"/>
          <w:sz w:val="45"/>
          <w:szCs w:val="45"/>
          <w:lang w:val="en-US"/>
        </w:rPr>
      </w:pPr>
      <w:r>
        <w:rPr>
          <w:rFonts w:ascii="宋体" w:hAnsi="宋体" w:eastAsia="宋体" w:cs="宋体"/>
          <w:color w:val="333333"/>
          <w:kern w:val="0"/>
          <w:sz w:val="45"/>
          <w:szCs w:val="45"/>
          <w:bdr w:val="none" w:color="auto" w:sz="0" w:space="0"/>
          <w:shd w:val="clear" w:fill="FFFFFF"/>
          <w:lang w:val="en-US" w:eastAsia="zh-CN" w:bidi="ar"/>
        </w:rPr>
        <w:t>审计署审计科研所2018年公开招聘工作人员拟聘</w:t>
      </w:r>
      <w:r>
        <w:rPr>
          <w:rFonts w:hint="eastAsia" w:ascii="宋体" w:hAnsi="宋体" w:eastAsia="宋体" w:cs="宋体"/>
          <w:color w:val="333333"/>
          <w:kern w:val="0"/>
          <w:sz w:val="45"/>
          <w:szCs w:val="45"/>
          <w:bdr w:val="none" w:color="auto" w:sz="0" w:space="0"/>
          <w:shd w:val="clear" w:fill="FFFFFF"/>
          <w:lang w:val="en-US" w:eastAsia="zh-CN" w:bidi="ar"/>
        </w:rPr>
        <w:t>名单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300" w:beforeAutospacing="0" w:after="30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tbl>
      <w:tblPr>
        <w:tblW w:w="11763" w:type="dxa"/>
        <w:jc w:val="center"/>
        <w:tblInd w:w="12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8"/>
        <w:gridCol w:w="1268"/>
        <w:gridCol w:w="859"/>
        <w:gridCol w:w="1541"/>
        <w:gridCol w:w="975"/>
        <w:gridCol w:w="690"/>
        <w:gridCol w:w="1622"/>
        <w:gridCol w:w="3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6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5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3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专业/研究方向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审计研究1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张艳芳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上海财经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大学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财政学/财税理论与政策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6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审计研究2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林旷达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外交学院</w:t>
            </w:r>
          </w:p>
        </w:tc>
        <w:tc>
          <w:tcPr>
            <w:tcW w:w="3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国际关系/经济外交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1279F"/>
    <w:rsid w:val="3011279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2018-07-11T09:45:00Z</dcterms:created>
  <dc:creator>zrt</dc:creator>
  <cp:lastModifiedBy>zrt</cp:lastModifiedBy>
  <dcterms:modified xsi:type="dcterms:W3CDTF">2018-07-11T09:47:00Z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