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5"/>
          <w:sz w:val="23"/>
          <w:szCs w:val="23"/>
          <w:shd w:val="clear" w:fill="FFFFFF"/>
        </w:rPr>
        <w:t>各专业补录名单如下（准考证顺序排列）：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5"/>
          <w:sz w:val="23"/>
          <w:szCs w:val="23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5"/>
          <w:sz w:val="23"/>
          <w:szCs w:val="23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5"/>
          <w:sz w:val="23"/>
          <w:szCs w:val="23"/>
          <w:bdr w:val="none" w:color="auto" w:sz="0" w:space="0"/>
          <w:shd w:val="clear" w:fill="FFFFFF"/>
        </w:rPr>
        <w:drawing>
          <wp:inline distT="0" distB="0" distL="114300" distR="114300">
            <wp:extent cx="3248025" cy="3810000"/>
            <wp:effectExtent l="0" t="0" r="635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67404"/>
    <w:rsid w:val="31D674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2017-11-29T06:49:00Z</dcterms:created>
  <dc:creator>ASUS</dc:creator>
  <cp:lastModifiedBy>ASUS</cp:lastModifiedBy>
  <dcterms:modified xsi:type="dcterms:W3CDTF">2017-11-29T06:49:37Z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